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05" w:rsidRPr="003B5F1A" w:rsidRDefault="00EC2105" w:rsidP="00EC2105">
      <w:pPr>
        <w:spacing w:line="240" w:lineRule="auto"/>
        <w:rPr>
          <w:rFonts w:ascii="Times New Roman" w:hAnsi="Times New Roman"/>
          <w:b/>
          <w:spacing w:val="-2"/>
          <w:w w:val="101"/>
          <w:szCs w:val="24"/>
        </w:rPr>
      </w:pPr>
      <w:r>
        <w:rPr>
          <w:rFonts w:cs="Arial"/>
          <w:b/>
          <w:noProof/>
          <w:spacing w:val="-2"/>
          <w:sz w:val="20"/>
        </w:rPr>
        <w:drawing>
          <wp:anchor distT="0" distB="0" distL="114300" distR="114300" simplePos="0" relativeHeight="251660288" behindDoc="0" locked="0" layoutInCell="1" allowOverlap="1" wp14:anchorId="2B1282EB" wp14:editId="003547FE">
            <wp:simplePos x="0" y="0"/>
            <wp:positionH relativeFrom="margin">
              <wp:posOffset>-289560</wp:posOffset>
            </wp:positionH>
            <wp:positionV relativeFrom="margin">
              <wp:posOffset>-158115</wp:posOffset>
            </wp:positionV>
            <wp:extent cx="476250" cy="647700"/>
            <wp:effectExtent l="19050" t="0" r="0" b="0"/>
            <wp:wrapSquare wrapText="bothSides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cs="Arial"/>
            <w:b/>
            <w:spacing w:val="-2"/>
            <w:w w:val="101"/>
            <w:sz w:val="18"/>
          </w:rPr>
          <w:id w:val="778762664"/>
          <w:docPartObj>
            <w:docPartGallery w:val="Page Numbers (Margins)"/>
            <w:docPartUnique/>
          </w:docPartObj>
        </w:sdtPr>
        <w:sdtEndPr/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7178DDA" wp14:editId="7DA9AEF9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328930" cy="2183130"/>
                    <wp:effectExtent l="0" t="0" r="4445" b="0"/>
                    <wp:wrapNone/>
                    <wp:docPr id="1" name="Retâ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9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105" w:rsidRPr="00635423" w:rsidRDefault="00EC2105" w:rsidP="00EC2105">
                                <w:pPr>
                                  <w:pStyle w:val="Rodap"/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35423"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  <w:t>Página</w:t>
                                </w:r>
                                <w:r w:rsidRPr="00635423">
                                  <w:rPr>
                                    <w:rFonts w:ascii="Times New Roman" w:eastAsiaTheme="minorEastAsia" w:hAnsi="Times New Roman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3542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635423">
                                  <w:rPr>
                                    <w:rFonts w:ascii="Times New Roman" w:eastAsiaTheme="minorEastAsia" w:hAnsi="Times New Roman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C03FA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635423"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7178DDA" id="Retângulo 1" o:spid="_x0000_s1026" style="position:absolute;margin-left:0;margin-top:0;width:25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QeuAIAALYFAAAOAAAAZHJzL2Uyb0RvYy54bWysVF2O0zAQfkfiDpbfs/mp2ybRpqulaRDS&#10;AisWDuAmTmOR2MF2m64Ql+EqXIyx03bb3RcE5MHy2OOZ+eb7Mtc3+65FO6Y0lyLD4VWAEROlrLjY&#10;ZPjL58KLMdKGioq2UrAMPzKNbxavX10Pfcoi2ci2YgpBEKHToc9wY0yf+r4uG9ZRfSV7JuCylqqj&#10;Bky18StFB4jetX4UBDN/kKrqlSyZ1nCaj5d44eLXNSvNx7rWzKA2w1Cbcaty69qu/uKaphtF+4aX&#10;hzLoX1TRUS4g6SlUTg1FW8VfhOp4qaSWtbkqZefLuuYlcxgATRg8Q/PQ0J45LNAc3Z/apP9f2PLD&#10;7l4hXgF3GAnaAUWfmPn1U2y2rUSh7c/Q6xTcHvp7ZRHq/k6WXzUSctlQsWG3SsmhYbSCqpy/f/HA&#10;GhqeovXwXlYQnm6NdK3a16qzAaEJaO8YeTwxwvYGlXA4ieJkAryVcBWF8SQEA0ryaXp83Stt3jLZ&#10;IbvJsALGXXS6u9NmdD262GRCFrxtHeutuDiAmOMJ5Ian9s5W4Uj8ngTJKl7FxCPRbOWRIM+922JJ&#10;vFkRzqf5JF8u8/CHzRuStOFVxYRNcxRUSP6MsIO0RymcJKVlyysbzpak1Wa9bBXaURB04b5DQ87c&#10;/MsyXL8AyzNIYUSCN1HiFbN47pGCTL1kHsReECZvkllAEpIXl5DuuGD/DgkNGU6m0dSxdFb0M2yB&#10;+15io2nHDYyMlncZjk9ONLUSXInKUWsob8f9WSts+U+tALqPRDvBWo2OWjf79R6iWOGuZfUI0lUS&#10;lAUqhDkHG7tGczAHGBsZ1t+2VDGM2ncC/oAkJMTOGWeQ6TwCQ53frM9vqCgbCdOoNAqj0ViacTpt&#10;e8U3DaQLx0b1t/DfFNxJ+qk0wGMNGA4O2WGQ2elzbjuvp3G7+A0AAP//AwBQSwMEFAAGAAgAAAAh&#10;ANszJavaAAAABAEAAA8AAABkcnMvZG93bnJldi54bWxMj0FLAzEQhe+C/yGM4M1m12pZ1s0WEbyI&#10;UGw99DhNppulm2TZZNv47x296OXB8Ib3vtessxvEmabYB6+gXBQgyOtget8p+Ny93lUgYkJvcAie&#10;FHxRhHV7fdVgbcLFf9B5mzrBIT7WqMCmNNZSRm3JYVyEkTx7xzA5THxOnTQTXjjcDfK+KFbSYe+5&#10;weJIL5b0aTs7BbtV3us870t611WnkTbWvW2Uur3Jz08gEuX09ww/+IwOLTMdwuxNFIMCHpJ+lb3H&#10;klccFCwflhXItpH/4dtvAAAA//8DAFBLAQItABQABgAIAAAAIQC2gziS/gAAAOEBAAATAAAAAAAA&#10;AAAAAAAAAAAAAABbQ29udGVudF9UeXBlc10ueG1sUEsBAi0AFAAGAAgAAAAhADj9If/WAAAAlAEA&#10;AAsAAAAAAAAAAAAAAAAALwEAAF9yZWxzLy5yZWxzUEsBAi0AFAAGAAgAAAAhALdwNB64AgAAtgUA&#10;AA4AAAAAAAAAAAAAAAAALgIAAGRycy9lMm9Eb2MueG1sUEsBAi0AFAAGAAgAAAAhANszJavaAAAA&#10;BAEAAA8AAAAAAAAAAAAAAAAAEgUAAGRycy9kb3ducmV2LnhtbFBLBQYAAAAABAAEAPMAAAAZBgAA&#10;AAA=&#10;" o:allowincell="f" filled="f" stroked="f">
                    <v:textbox style="layout-flow:vertical;mso-layout-flow-alt:bottom-to-top;mso-fit-shape-to-text:t">
                      <w:txbxContent>
                        <w:p w:rsidR="00EC2105" w:rsidRPr="00635423" w:rsidRDefault="00EC2105" w:rsidP="00EC2105">
                          <w:pPr>
                            <w:pStyle w:val="Rodap"/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</w:pPr>
                          <w:r w:rsidRPr="00635423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>Página</w:t>
                          </w:r>
                          <w:r w:rsidRPr="00635423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3542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35423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C03FA">
                            <w:rPr>
                              <w:rFonts w:ascii="Times New Roman" w:eastAsiaTheme="majorEastAsia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35423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3B5F1A">
            <w:rPr>
              <w:rFonts w:cs="Arial"/>
              <w:b/>
              <w:spacing w:val="-2"/>
              <w:w w:val="101"/>
              <w:sz w:val="18"/>
            </w:rPr>
            <w:tab/>
          </w:r>
        </w:sdtContent>
      </w:sdt>
      <w:r>
        <w:rPr>
          <w:rFonts w:cs="Arial"/>
          <w:b/>
          <w:spacing w:val="-2"/>
          <w:w w:val="101"/>
          <w:sz w:val="18"/>
        </w:rPr>
        <w:t xml:space="preserve">         </w:t>
      </w:r>
      <w:r w:rsidRPr="003B5F1A">
        <w:rPr>
          <w:rFonts w:ascii="Times New Roman" w:hAnsi="Times New Roman"/>
          <w:b/>
          <w:spacing w:val="-2"/>
          <w:w w:val="101"/>
          <w:szCs w:val="24"/>
        </w:rPr>
        <w:t>INSTITUTO DE EDUCAÇÃO SUPERIOR RAIMUNDO SÁ</w:t>
      </w:r>
    </w:p>
    <w:p w:rsidR="00EC2105" w:rsidRPr="003B5F1A" w:rsidRDefault="00EC2105" w:rsidP="00EC2105">
      <w:pPr>
        <w:spacing w:line="240" w:lineRule="auto"/>
        <w:ind w:firstLine="708"/>
        <w:rPr>
          <w:rFonts w:ascii="Times New Roman" w:hAnsi="Times New Roman"/>
          <w:b/>
          <w:szCs w:val="24"/>
          <w:lang w:eastAsia="ar-SA"/>
        </w:rPr>
      </w:pPr>
      <w:r w:rsidRPr="003B5F1A">
        <w:rPr>
          <w:rFonts w:ascii="Times New Roman" w:hAnsi="Times New Roman"/>
          <w:b/>
          <w:szCs w:val="24"/>
          <w:lang w:eastAsia="ar-SA"/>
        </w:rPr>
        <w:t>COORDENAÇÃO DE GRADUAÇÃO</w:t>
      </w:r>
    </w:p>
    <w:p w:rsidR="00EC2105" w:rsidRDefault="00EC2105" w:rsidP="00EC2105">
      <w:pPr>
        <w:pStyle w:val="Default"/>
        <w:spacing w:line="360" w:lineRule="auto"/>
        <w:ind w:firstLine="700"/>
        <w:rPr>
          <w:b/>
          <w:color w:val="auto"/>
        </w:rPr>
      </w:pPr>
      <w:r>
        <w:rPr>
          <w:rFonts w:ascii="Times New Roman" w:hAnsi="Times New Roman"/>
          <w:b/>
        </w:rPr>
        <w:t xml:space="preserve">CURSO DE </w:t>
      </w:r>
      <w:r w:rsidR="00696526">
        <w:rPr>
          <w:b/>
          <w:color w:val="auto"/>
        </w:rPr>
        <w:t>LICENCIATURA</w:t>
      </w:r>
      <w:bookmarkStart w:id="0" w:name="_GoBack"/>
      <w:bookmarkEnd w:id="0"/>
      <w:r>
        <w:rPr>
          <w:b/>
          <w:color w:val="auto"/>
        </w:rPr>
        <w:t xml:space="preserve"> EM PEDAGOGIA</w:t>
      </w:r>
    </w:p>
    <w:p w:rsidR="00EC2105" w:rsidRPr="003B5F1A" w:rsidRDefault="00EC2105" w:rsidP="00EC2105">
      <w:pPr>
        <w:spacing w:line="240" w:lineRule="auto"/>
        <w:ind w:firstLine="708"/>
        <w:rPr>
          <w:rFonts w:ascii="Times New Roman" w:hAnsi="Times New Roman"/>
          <w:b/>
          <w:spacing w:val="-2"/>
          <w:sz w:val="18"/>
        </w:rPr>
      </w:pPr>
    </w:p>
    <w:p w:rsidR="00302692" w:rsidRPr="006333D2" w:rsidRDefault="00302692" w:rsidP="00EC2105">
      <w:pPr>
        <w:pStyle w:val="Default"/>
        <w:spacing w:line="360" w:lineRule="auto"/>
        <w:rPr>
          <w:b/>
          <w:color w:val="auto"/>
        </w:rPr>
      </w:pPr>
    </w:p>
    <w:p w:rsidR="00FC25BE" w:rsidRDefault="00FC25BE" w:rsidP="00FC25BE">
      <w:pPr>
        <w:pStyle w:val="Default"/>
        <w:spacing w:line="360" w:lineRule="auto"/>
        <w:ind w:firstLine="700"/>
        <w:jc w:val="both"/>
      </w:pPr>
      <w:r>
        <w:t xml:space="preserve">A carga horária total do curso de licenciatura em </w:t>
      </w:r>
      <w:r w:rsidR="00BF5ADF">
        <w:t>Pedagogia do</w:t>
      </w:r>
      <w:r>
        <w:t xml:space="preserve"> Instituto de Educação Superior Raimundo Sá </w:t>
      </w:r>
      <w:r w:rsidR="00B553C4">
        <w:t>compreende a integralização 3400</w:t>
      </w:r>
      <w:r>
        <w:t xml:space="preserve"> horas, distribuídas entre as disciplinas teóricas ministradas em sala de aula, o estágio curricular obrigatório e as atividades complementares. Esta última modalidade, compreende um conjunto de estratégias pedagógico-didáticas que visam estimular a condição de sujeito do/a aluno/a nos processos de produção do saber, que lhes possibilitem o aproveitamento de atividades extracurricular. </w:t>
      </w:r>
      <w:r w:rsidR="00BF5ADF">
        <w:t xml:space="preserve">    </w:t>
      </w:r>
      <w:r>
        <w:t xml:space="preserve">Nosso aluno deve cumprir um total de 200 horas, divididos nas modalidades: ensino, pesquisa e extensão. Nesse sentido, </w:t>
      </w:r>
      <w:r w:rsidR="00302692">
        <w:t>as atividades aceitas pela coordenação do curso têm</w:t>
      </w:r>
      <w:r>
        <w:t xml:space="preserve"> como base o regulamento interno da instituição e aquelas definidas no Projeto Científico Pedagógico do curso. Para fins de validação, estas atividades devem ser comprovadas, inseridas (pelo próprio aluno) no aluno online, validadas pela coordenação e inseridas no histórico escolar do estudante. É de responsabilidade do aluno apresentar em anexo (formato PDF) cópia da documentação comprobatória das atividades realizadas, n</w:t>
      </w:r>
      <w:r w:rsidR="005658E8">
        <w:t>a forma de declarações</w:t>
      </w:r>
      <w:r>
        <w:t>, certificados, relatórios, publicações, históricos e programas de disciplinas ou quaisquer outros documentos necessários, os quais devem estar devidamente assinados e datados pelas autoridades institucionais e administrativas onde foi realizada a atividade (quando for o caso), e com registro do período da atividade e da carga horária cumprida;</w:t>
      </w:r>
      <w:r w:rsidR="005658E8">
        <w:t xml:space="preserve"> Cabe a coordenação do Curso de licenciatura em Pedagogia</w:t>
      </w:r>
      <w:r>
        <w:t xml:space="preserve"> a análise dos requerimentos bem como de suas comprovações, em absoluta observância aos dispostos na Resolução de Atividades Complementares da Faculdade e do Projeto Científico-</w:t>
      </w:r>
      <w:r w:rsidR="001D1B8A">
        <w:t>Pedagógico</w:t>
      </w:r>
      <w:r>
        <w:t xml:space="preserve"> do curso.</w:t>
      </w:r>
    </w:p>
    <w:p w:rsidR="00FC25BE" w:rsidRPr="003E4BAD" w:rsidRDefault="00FC25BE" w:rsidP="00FC25BE">
      <w:pPr>
        <w:pStyle w:val="Default"/>
        <w:spacing w:line="360" w:lineRule="auto"/>
        <w:ind w:firstLine="700"/>
        <w:jc w:val="both"/>
        <w:rPr>
          <w:b/>
          <w:color w:val="auto"/>
          <w:sz w:val="22"/>
          <w:szCs w:val="22"/>
        </w:rPr>
      </w:pPr>
      <w:r>
        <w:t>Conforme disposto em resolução, as atividades complementares estão divididas nas modalidad</w:t>
      </w:r>
      <w:r w:rsidR="001D1B8A">
        <w:t>es: ENSINO, PESQUISA E EXTENSÃO</w:t>
      </w:r>
      <w:r>
        <w:t>, e serão validadas respeitando os respectivos critérios de aproveitamentos, conforme disposto abaixo: ENSINO: São aceitas atividades que visem estimular o debate e o aprimoramento de temas curriculares com o objetivo de se especializar no estudo do mesmo. Nesta Modalidade o aluno pode ter</w:t>
      </w:r>
      <w:r w:rsidR="005118F0">
        <w:t xml:space="preserve"> um aproveitamento máximo de 72</w:t>
      </w:r>
      <w:r>
        <w:t xml:space="preserve"> horas, conforme comprovem os documentos apresentados por ele. Já o aproveitamento mínimo é de </w:t>
      </w:r>
      <w:r>
        <w:lastRenderedPageBreak/>
        <w:t>04 horas, estabelecido conforme a atividade apresentada, cuja carga horária está abaixo descrita. Desse modo, são aceitas as seguintes atividades: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16"/>
        <w:gridCol w:w="3600"/>
        <w:gridCol w:w="3960"/>
        <w:gridCol w:w="1260"/>
      </w:tblGrid>
      <w:tr w:rsidR="00CF2F79" w:rsidRPr="009315AB" w:rsidTr="00805183">
        <w:trPr>
          <w:jc w:val="center"/>
        </w:trPr>
        <w:tc>
          <w:tcPr>
            <w:tcW w:w="754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9315AB">
              <w:rPr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4016" w:type="dxa"/>
            <w:gridSpan w:val="2"/>
          </w:tcPr>
          <w:p w:rsidR="00CF2F79" w:rsidRPr="009315AB" w:rsidRDefault="00CF2F79" w:rsidP="000D06B7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15AB">
              <w:rPr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3960" w:type="dxa"/>
          </w:tcPr>
          <w:p w:rsidR="00CF2F79" w:rsidRPr="009315AB" w:rsidRDefault="00CF2F79" w:rsidP="000D06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15AB">
              <w:rPr>
                <w:rFonts w:cs="Arial"/>
                <w:b/>
                <w:bCs/>
              </w:rPr>
              <w:t>DESCRIÇÃO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15AB">
              <w:rPr>
                <w:rFonts w:cs="Arial"/>
                <w:b/>
              </w:rPr>
              <w:t>APROVEITAMENTO MÁXIMO</w:t>
            </w:r>
          </w:p>
        </w:tc>
      </w:tr>
      <w:tr w:rsidR="00CF2F79" w:rsidRPr="009315AB" w:rsidTr="00805183">
        <w:trPr>
          <w:jc w:val="center"/>
        </w:trPr>
        <w:tc>
          <w:tcPr>
            <w:tcW w:w="754" w:type="dxa"/>
          </w:tcPr>
          <w:p w:rsidR="00CF2F79" w:rsidRPr="00A076CF" w:rsidRDefault="00CF2F79" w:rsidP="000D06B7">
            <w:pPr>
              <w:autoSpaceDE w:val="0"/>
              <w:autoSpaceDN w:val="0"/>
              <w:adjustRightInd w:val="0"/>
              <w:rPr>
                <w:rFonts w:cs="Arial"/>
                <w:iCs/>
                <w:sz w:val="22"/>
                <w:szCs w:val="22"/>
              </w:rPr>
            </w:pPr>
            <w:r w:rsidRPr="00A076CF">
              <w:rPr>
                <w:rFonts w:cs="Arial"/>
                <w:iCs/>
                <w:sz w:val="22"/>
                <w:szCs w:val="22"/>
              </w:rPr>
              <w:t>1. Ensino</w:t>
            </w:r>
          </w:p>
        </w:tc>
        <w:tc>
          <w:tcPr>
            <w:tcW w:w="4016" w:type="dxa"/>
            <w:gridSpan w:val="2"/>
          </w:tcPr>
          <w:p w:rsidR="00CF2F79" w:rsidRPr="00A076CF" w:rsidRDefault="00CF2F79" w:rsidP="000D06B7">
            <w:pPr>
              <w:pStyle w:val="Default"/>
              <w:rPr>
                <w:sz w:val="22"/>
                <w:szCs w:val="22"/>
              </w:rPr>
            </w:pPr>
            <w:r w:rsidRPr="00A076CF">
              <w:rPr>
                <w:iCs/>
                <w:sz w:val="22"/>
                <w:szCs w:val="22"/>
              </w:rPr>
              <w:t>Disciplinas extracurriculares oferecidas e / ou reconhecidas pela coordenadoria do curso</w:t>
            </w:r>
          </w:p>
        </w:tc>
        <w:tc>
          <w:tcPr>
            <w:tcW w:w="3960" w:type="dxa"/>
          </w:tcPr>
          <w:p w:rsidR="00CF2F79" w:rsidRPr="00A076CF" w:rsidRDefault="00CF2F79" w:rsidP="000D06B7">
            <w:pPr>
              <w:pStyle w:val="Default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São disciplinas extracurriculares que visam estimular o debate e o aprimoramento de temas curriculares com o objetivo de se especializar no estudo do tema.</w:t>
            </w:r>
          </w:p>
        </w:tc>
        <w:tc>
          <w:tcPr>
            <w:tcW w:w="1260" w:type="dxa"/>
          </w:tcPr>
          <w:p w:rsidR="00CF2F79" w:rsidRPr="00C86A14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86A14">
              <w:rPr>
                <w:sz w:val="22"/>
                <w:szCs w:val="22"/>
              </w:rPr>
              <w:t>Até horas 72 horas</w:t>
            </w:r>
          </w:p>
        </w:tc>
      </w:tr>
      <w:tr w:rsidR="00CF2F79" w:rsidRPr="009315AB" w:rsidTr="00805183">
        <w:trPr>
          <w:jc w:val="center"/>
        </w:trPr>
        <w:tc>
          <w:tcPr>
            <w:tcW w:w="754" w:type="dxa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1.1</w:t>
            </w:r>
          </w:p>
        </w:tc>
        <w:tc>
          <w:tcPr>
            <w:tcW w:w="4016" w:type="dxa"/>
            <w:gridSpan w:val="2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Disciplinas oferecidas pelo instituto, mas não previstas no seu currículo pleno.</w:t>
            </w:r>
          </w:p>
          <w:p w:rsidR="00CF2F79" w:rsidRPr="00A076CF" w:rsidRDefault="00CF2F79" w:rsidP="000D06B7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Disciplinas ofertadas pelo Instituto, não inclusa na grade curricular do curso de licenciatura em Pedagogia.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 horas</w:t>
            </w:r>
          </w:p>
        </w:tc>
      </w:tr>
      <w:tr w:rsidR="00CF2F79" w:rsidRPr="009315AB" w:rsidTr="00805183">
        <w:trPr>
          <w:trHeight w:val="780"/>
          <w:jc w:val="center"/>
        </w:trPr>
        <w:tc>
          <w:tcPr>
            <w:tcW w:w="754" w:type="dxa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1.2</w:t>
            </w:r>
          </w:p>
        </w:tc>
        <w:tc>
          <w:tcPr>
            <w:tcW w:w="4016" w:type="dxa"/>
            <w:gridSpan w:val="2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Cursos e/ou disciplinas realizadas em outras instituições desde que com anuência prévia do Instituto</w:t>
            </w:r>
          </w:p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F2F79" w:rsidRPr="00A076CF" w:rsidRDefault="00CF2F79" w:rsidP="000D06B7">
            <w:pPr>
              <w:rPr>
                <w:rFonts w:cs="Arial"/>
                <w:sz w:val="22"/>
                <w:szCs w:val="22"/>
              </w:rPr>
            </w:pPr>
            <w:r w:rsidRPr="00A076CF">
              <w:rPr>
                <w:rFonts w:cs="Arial"/>
                <w:sz w:val="22"/>
                <w:szCs w:val="22"/>
              </w:rPr>
              <w:t>Disciplinas e/ou cursos realizados em outro IES, relacionadas ao curso de licenciatura em Pedagogia ou áreas afins.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315AB">
              <w:rPr>
                <w:color w:val="auto"/>
                <w:sz w:val="20"/>
                <w:szCs w:val="20"/>
              </w:rPr>
              <w:t xml:space="preserve">Até </w:t>
            </w:r>
            <w:r>
              <w:rPr>
                <w:color w:val="auto"/>
                <w:sz w:val="20"/>
                <w:szCs w:val="20"/>
              </w:rPr>
              <w:t xml:space="preserve">72 </w:t>
            </w:r>
            <w:r w:rsidRPr="009315AB">
              <w:rPr>
                <w:color w:val="auto"/>
                <w:sz w:val="20"/>
                <w:szCs w:val="20"/>
              </w:rPr>
              <w:t>horas</w:t>
            </w:r>
          </w:p>
        </w:tc>
      </w:tr>
      <w:tr w:rsidR="00CF2F79" w:rsidRPr="009315AB" w:rsidTr="00805183">
        <w:trPr>
          <w:jc w:val="center"/>
        </w:trPr>
        <w:tc>
          <w:tcPr>
            <w:tcW w:w="754" w:type="dxa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1.3</w:t>
            </w:r>
          </w:p>
        </w:tc>
        <w:tc>
          <w:tcPr>
            <w:tcW w:w="4016" w:type="dxa"/>
            <w:gridSpan w:val="2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 xml:space="preserve">Monitoria em disciplinas do curso ou áreas a fins </w:t>
            </w:r>
          </w:p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F2F79" w:rsidRPr="00A076CF" w:rsidRDefault="00CF2F79" w:rsidP="000D06B7">
            <w:pPr>
              <w:pStyle w:val="Default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Um semestre de exercício de monitoria no curso ou área afim, com apresentação de documento comprobatório da instituição e assinado pelo professor titular da disciplina.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9315AB">
              <w:rPr>
                <w:sz w:val="20"/>
                <w:szCs w:val="20"/>
              </w:rPr>
              <w:t xml:space="preserve"> horas</w:t>
            </w:r>
          </w:p>
        </w:tc>
      </w:tr>
      <w:tr w:rsidR="00CF2F79" w:rsidRPr="009315AB" w:rsidTr="00805183">
        <w:trPr>
          <w:jc w:val="center"/>
        </w:trPr>
        <w:tc>
          <w:tcPr>
            <w:tcW w:w="4770" w:type="dxa"/>
            <w:gridSpan w:val="3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  <w:p w:rsidR="00CF2F79" w:rsidRPr="00A076CF" w:rsidRDefault="00CF2F79" w:rsidP="000D06B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076CF">
              <w:rPr>
                <w:b/>
                <w:sz w:val="22"/>
                <w:szCs w:val="22"/>
              </w:rPr>
              <w:t>2. Extensão</w:t>
            </w:r>
          </w:p>
        </w:tc>
        <w:tc>
          <w:tcPr>
            <w:tcW w:w="3960" w:type="dxa"/>
          </w:tcPr>
          <w:p w:rsidR="00CF2F79" w:rsidRPr="00A076CF" w:rsidRDefault="00CF2F79" w:rsidP="000D06B7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bCs/>
                <w:color w:val="000000"/>
                <w:sz w:val="22"/>
                <w:szCs w:val="22"/>
              </w:rPr>
              <w:t>A extensão universitária é uma forma de interação que deve existir entre a faculdade/universidade e a comunidade a qual está inserida, ou seja, é o meio de comunicação entre a Faculdade/Universidade e a sociedade.</w:t>
            </w:r>
          </w:p>
        </w:tc>
        <w:tc>
          <w:tcPr>
            <w:tcW w:w="1260" w:type="dxa"/>
          </w:tcPr>
          <w:p w:rsidR="00CF2F79" w:rsidRPr="00C86A14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86A14">
              <w:rPr>
                <w:sz w:val="22"/>
                <w:szCs w:val="22"/>
              </w:rPr>
              <w:t>Até 108 horas</w:t>
            </w:r>
          </w:p>
        </w:tc>
      </w:tr>
      <w:tr w:rsidR="00CF2F79" w:rsidRPr="009315AB" w:rsidTr="00805183">
        <w:trPr>
          <w:jc w:val="center"/>
        </w:trPr>
        <w:tc>
          <w:tcPr>
            <w:tcW w:w="1170" w:type="dxa"/>
            <w:gridSpan w:val="2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2.1</w:t>
            </w:r>
          </w:p>
        </w:tc>
        <w:tc>
          <w:tcPr>
            <w:tcW w:w="360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Participação em seminários, palestras, congressos, conferências, encontros, cursos de atualização e similares;</w:t>
            </w:r>
          </w:p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sz w:val="22"/>
                <w:szCs w:val="22"/>
              </w:rPr>
              <w:t xml:space="preserve">Participação em eventos internacionais, nacionais, regionais/locais diretamente relacionados à área de educação. </w:t>
            </w:r>
            <w:r w:rsidR="005A4538" w:rsidRPr="00A076CF">
              <w:rPr>
                <w:rFonts w:cs="Arial"/>
                <w:sz w:val="22"/>
                <w:szCs w:val="22"/>
              </w:rPr>
              <w:t>Trabalhos de</w:t>
            </w:r>
            <w:r w:rsidRPr="00A076CF">
              <w:rPr>
                <w:rFonts w:cs="Arial"/>
                <w:sz w:val="22"/>
                <w:szCs w:val="22"/>
              </w:rPr>
              <w:t xml:space="preserve"> extensão desenvolvidos em bairros ou comunidades carentes. 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horas</w:t>
            </w:r>
          </w:p>
        </w:tc>
      </w:tr>
      <w:tr w:rsidR="00CF2F79" w:rsidRPr="009315AB" w:rsidTr="00805183">
        <w:trPr>
          <w:jc w:val="center"/>
        </w:trPr>
        <w:tc>
          <w:tcPr>
            <w:tcW w:w="1170" w:type="dxa"/>
            <w:gridSpan w:val="2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60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 xml:space="preserve">Estágios extracurriculares </w:t>
            </w:r>
          </w:p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 xml:space="preserve">Realização de estágios não obrigatórios em áreas relacionadas </w:t>
            </w:r>
            <w:r w:rsidR="005A4538" w:rsidRPr="00A076CF">
              <w:rPr>
                <w:rFonts w:cs="Arial"/>
                <w:color w:val="000000"/>
                <w:sz w:val="22"/>
                <w:szCs w:val="22"/>
              </w:rPr>
              <w:t>à área</w:t>
            </w:r>
            <w:r w:rsidRPr="00A076CF">
              <w:rPr>
                <w:rFonts w:cs="Arial"/>
                <w:color w:val="000000"/>
                <w:sz w:val="22"/>
                <w:szCs w:val="22"/>
              </w:rPr>
              <w:t xml:space="preserve"> de educação.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315AB">
              <w:rPr>
                <w:sz w:val="20"/>
                <w:szCs w:val="20"/>
              </w:rPr>
              <w:t>90 horas</w:t>
            </w:r>
          </w:p>
        </w:tc>
      </w:tr>
      <w:tr w:rsidR="00CF2F79" w:rsidRPr="009315AB" w:rsidTr="00805183">
        <w:trPr>
          <w:jc w:val="center"/>
        </w:trPr>
        <w:tc>
          <w:tcPr>
            <w:tcW w:w="1170" w:type="dxa"/>
            <w:gridSpan w:val="2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2.3</w:t>
            </w:r>
          </w:p>
        </w:tc>
        <w:tc>
          <w:tcPr>
            <w:tcW w:w="3600" w:type="dxa"/>
          </w:tcPr>
          <w:p w:rsidR="00CF2F79" w:rsidRPr="00A076CF" w:rsidRDefault="00CF2F79" w:rsidP="000D06B7">
            <w:pPr>
              <w:pStyle w:val="Default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 xml:space="preserve">Participação em ações de extensão promovidas pelo IESRSA </w:t>
            </w:r>
          </w:p>
        </w:tc>
        <w:tc>
          <w:tcPr>
            <w:tcW w:w="3960" w:type="dxa"/>
          </w:tcPr>
          <w:p w:rsidR="00CF2F79" w:rsidRPr="00A076CF" w:rsidRDefault="00CF2F79" w:rsidP="005A4538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Realização de ações de extensão, na área da educação, promovidos pelo Instituto sendo acrescentado o valor de 5 horas, a mais, na participação do al</w:t>
            </w:r>
            <w:r w:rsidR="005A4538" w:rsidRPr="00A076CF">
              <w:rPr>
                <w:rFonts w:cs="Arial"/>
                <w:color w:val="000000"/>
                <w:sz w:val="22"/>
                <w:szCs w:val="22"/>
              </w:rPr>
              <w:t>uno como organizador do evento.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315AB">
              <w:rPr>
                <w:sz w:val="20"/>
                <w:szCs w:val="20"/>
              </w:rPr>
              <w:t>90 horas</w:t>
            </w:r>
          </w:p>
        </w:tc>
      </w:tr>
      <w:tr w:rsidR="00CF2F79" w:rsidRPr="009315AB" w:rsidTr="00805183">
        <w:trPr>
          <w:jc w:val="center"/>
        </w:trPr>
        <w:tc>
          <w:tcPr>
            <w:tcW w:w="4770" w:type="dxa"/>
            <w:gridSpan w:val="3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b/>
                <w:sz w:val="22"/>
                <w:szCs w:val="22"/>
              </w:rPr>
              <w:t>3. Pesquisa</w:t>
            </w:r>
          </w:p>
        </w:tc>
        <w:tc>
          <w:tcPr>
            <w:tcW w:w="3960" w:type="dxa"/>
          </w:tcPr>
          <w:p w:rsidR="00CF2F79" w:rsidRPr="00A076CF" w:rsidRDefault="00CF2F79" w:rsidP="000D06B7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bCs/>
                <w:color w:val="000000"/>
                <w:sz w:val="22"/>
                <w:szCs w:val="22"/>
              </w:rPr>
              <w:t>Visa estimular o corpo discente ao estudo de temas e/ou problemáticas com o intuito de que este possa elaborar novos conhecimentos (pesquisa), e assim divulgar o processo criativo a comunidade</w:t>
            </w:r>
          </w:p>
        </w:tc>
        <w:tc>
          <w:tcPr>
            <w:tcW w:w="1260" w:type="dxa"/>
          </w:tcPr>
          <w:p w:rsidR="00CF2F79" w:rsidRDefault="00CF2F79" w:rsidP="000D06B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  <w:p w:rsidR="00CF2F79" w:rsidRPr="009315AB" w:rsidRDefault="00CF2F79" w:rsidP="000D06B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  <w:p w:rsidR="00CF2F79" w:rsidRPr="009315AB" w:rsidRDefault="00CF2F79" w:rsidP="000D06B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  <w:p w:rsidR="00CF2F79" w:rsidRPr="009315AB" w:rsidRDefault="00CF2F79" w:rsidP="000D06B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C86A14">
              <w:rPr>
                <w:sz w:val="22"/>
                <w:szCs w:val="22"/>
              </w:rPr>
              <w:t>Até 108 horas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CF2F79" w:rsidRPr="009315AB" w:rsidTr="00805183">
        <w:trPr>
          <w:jc w:val="center"/>
        </w:trPr>
        <w:tc>
          <w:tcPr>
            <w:tcW w:w="1170" w:type="dxa"/>
            <w:gridSpan w:val="2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3.1</w:t>
            </w:r>
          </w:p>
        </w:tc>
        <w:tc>
          <w:tcPr>
            <w:tcW w:w="360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Iniciação Científica</w:t>
            </w:r>
          </w:p>
          <w:p w:rsidR="00CF2F79" w:rsidRPr="00A076CF" w:rsidRDefault="00CF2F79" w:rsidP="000D06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São atividades de estudo e pesquisa a autoria ou co-autoria  de trabalhos apresentados em eventos científicos, publicações, relatórios de pesquisa, projetos de pesquisa e outras formas de  iniciação cientifica  desenvolvidos nesta IES.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315AB">
              <w:rPr>
                <w:sz w:val="20"/>
                <w:szCs w:val="20"/>
              </w:rPr>
              <w:t>90 horas</w:t>
            </w:r>
          </w:p>
        </w:tc>
      </w:tr>
      <w:tr w:rsidR="00CF2F79" w:rsidTr="00805183">
        <w:trPr>
          <w:jc w:val="center"/>
        </w:trPr>
        <w:tc>
          <w:tcPr>
            <w:tcW w:w="1170" w:type="dxa"/>
            <w:gridSpan w:val="2"/>
          </w:tcPr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076CF">
              <w:rPr>
                <w:sz w:val="22"/>
                <w:szCs w:val="22"/>
              </w:rPr>
              <w:t>3.2</w:t>
            </w:r>
          </w:p>
        </w:tc>
        <w:tc>
          <w:tcPr>
            <w:tcW w:w="360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Trabalhos e publicações</w:t>
            </w:r>
          </w:p>
          <w:p w:rsidR="00CF2F79" w:rsidRPr="00A076CF" w:rsidRDefault="00CF2F79" w:rsidP="000D06B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F2F79" w:rsidRPr="00A076CF" w:rsidRDefault="00CF2F79" w:rsidP="000D06B7">
            <w:pPr>
              <w:rPr>
                <w:rFonts w:cs="Arial"/>
                <w:color w:val="000000"/>
                <w:sz w:val="22"/>
                <w:szCs w:val="22"/>
              </w:rPr>
            </w:pPr>
            <w:r w:rsidRPr="00A076CF">
              <w:rPr>
                <w:rFonts w:cs="Arial"/>
                <w:color w:val="000000"/>
                <w:sz w:val="22"/>
                <w:szCs w:val="22"/>
              </w:rPr>
              <w:t>Publicação de trabalhos em periódicos, Publicação através de jornais, revistas ou publicação em   anais.</w:t>
            </w:r>
          </w:p>
        </w:tc>
        <w:tc>
          <w:tcPr>
            <w:tcW w:w="1260" w:type="dxa"/>
          </w:tcPr>
          <w:p w:rsidR="00CF2F79" w:rsidRPr="009315AB" w:rsidRDefault="00CF2F79" w:rsidP="000D06B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315AB">
              <w:rPr>
                <w:sz w:val="20"/>
                <w:szCs w:val="20"/>
              </w:rPr>
              <w:t>90 horas</w:t>
            </w:r>
          </w:p>
        </w:tc>
      </w:tr>
    </w:tbl>
    <w:p w:rsidR="00CF2F79" w:rsidRDefault="00CF2F79" w:rsidP="00CF2F79">
      <w:pPr>
        <w:pStyle w:val="Default"/>
        <w:spacing w:line="360" w:lineRule="auto"/>
        <w:ind w:firstLine="700"/>
        <w:jc w:val="both"/>
        <w:rPr>
          <w:color w:val="auto"/>
        </w:rPr>
      </w:pPr>
    </w:p>
    <w:p w:rsidR="00CF2F79" w:rsidRPr="00023C4D" w:rsidRDefault="00CF2F79" w:rsidP="00302692">
      <w:pPr>
        <w:pStyle w:val="Default"/>
        <w:spacing w:line="360" w:lineRule="auto"/>
        <w:ind w:left="-284" w:firstLine="984"/>
        <w:jc w:val="both"/>
        <w:rPr>
          <w:color w:val="auto"/>
        </w:rPr>
      </w:pPr>
    </w:p>
    <w:p w:rsidR="00AE67E5" w:rsidRPr="005A4538" w:rsidRDefault="005A4538" w:rsidP="005A4538">
      <w:pPr>
        <w:jc w:val="center"/>
        <w:rPr>
          <w:b/>
        </w:rPr>
      </w:pPr>
      <w:r w:rsidRPr="005A4538">
        <w:rPr>
          <w:b/>
        </w:rPr>
        <w:t>Coordenação do curso de licenciatura em Pedagogia</w:t>
      </w:r>
    </w:p>
    <w:sectPr w:rsidR="00AE67E5" w:rsidRPr="005A4538" w:rsidSect="0030269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C"/>
    <w:rsid w:val="00093AF6"/>
    <w:rsid w:val="00136FBD"/>
    <w:rsid w:val="001D1B8A"/>
    <w:rsid w:val="00302692"/>
    <w:rsid w:val="00337223"/>
    <w:rsid w:val="005118F0"/>
    <w:rsid w:val="005658E8"/>
    <w:rsid w:val="005A4538"/>
    <w:rsid w:val="00696526"/>
    <w:rsid w:val="00805183"/>
    <w:rsid w:val="00845F1C"/>
    <w:rsid w:val="00A076CF"/>
    <w:rsid w:val="00B553C4"/>
    <w:rsid w:val="00B97187"/>
    <w:rsid w:val="00BF5ADF"/>
    <w:rsid w:val="00CF2F79"/>
    <w:rsid w:val="00EC2105"/>
    <w:rsid w:val="00F76DBC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071C-6ABB-4F88-97A4-82820654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BC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76D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Corpodotexto">
    <w:name w:val="Corpo do texto"/>
    <w:basedOn w:val="Padro"/>
    <w:rsid w:val="00F76DBC"/>
    <w:pPr>
      <w:jc w:val="center"/>
    </w:pPr>
    <w:rPr>
      <w:rFonts w:ascii="Arial" w:hAnsi="Arial"/>
      <w:b/>
      <w:caps/>
      <w:sz w:val="24"/>
    </w:rPr>
  </w:style>
  <w:style w:type="character" w:styleId="Nmerodepgina">
    <w:name w:val="page number"/>
    <w:basedOn w:val="Fontepargpadro"/>
    <w:rsid w:val="00F76DBC"/>
  </w:style>
  <w:style w:type="paragraph" w:customStyle="1" w:styleId="Default">
    <w:name w:val="Default"/>
    <w:rsid w:val="00CF2F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210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</dc:creator>
  <cp:keywords/>
  <dc:description/>
  <cp:lastModifiedBy>NGA</cp:lastModifiedBy>
  <cp:revision>19</cp:revision>
  <dcterms:created xsi:type="dcterms:W3CDTF">2024-02-19T17:15:00Z</dcterms:created>
  <dcterms:modified xsi:type="dcterms:W3CDTF">2024-02-19T19:19:00Z</dcterms:modified>
</cp:coreProperties>
</file>